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1CE8" w14:textId="67BBF843" w:rsidR="00CC7BC9" w:rsidRDefault="00CC7BC9" w:rsidP="00574DBF">
      <w:r>
        <w:rPr>
          <w:noProof/>
        </w:rPr>
        <w:drawing>
          <wp:inline distT="0" distB="0" distL="0" distR="0" wp14:anchorId="66906352" wp14:editId="3FE115C2">
            <wp:extent cx="1245349" cy="688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47" cy="72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D790" w14:textId="77777777" w:rsidR="007B5CEB" w:rsidRPr="009725D1" w:rsidRDefault="007B5CEB" w:rsidP="00CC7BC9">
      <w:pPr>
        <w:jc w:val="center"/>
        <w:rPr>
          <w:b/>
          <w:bCs/>
          <w:sz w:val="20"/>
          <w:szCs w:val="20"/>
        </w:rPr>
      </w:pPr>
    </w:p>
    <w:p w14:paraId="65D843FF" w14:textId="782630F4" w:rsidR="00CC7BC9" w:rsidRPr="00810D1B" w:rsidRDefault="00CC7BC9" w:rsidP="00CC7BC9">
      <w:pPr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810D1B">
        <w:rPr>
          <w:rFonts w:ascii="Cambria" w:hAnsi="Cambria"/>
          <w:b/>
          <w:bCs/>
          <w:i/>
          <w:iCs/>
          <w:sz w:val="32"/>
          <w:szCs w:val="32"/>
        </w:rPr>
        <w:t>Osteoporosis and Bone Support</w:t>
      </w:r>
    </w:p>
    <w:p w14:paraId="6C30FD3E" w14:textId="78E28411" w:rsidR="009725D1" w:rsidRDefault="00651253" w:rsidP="00CC7BC9">
      <w:pPr>
        <w:jc w:val="center"/>
        <w:rPr>
          <w:b/>
          <w:bCs/>
          <w:sz w:val="28"/>
          <w:szCs w:val="28"/>
        </w:rPr>
      </w:pPr>
      <w:r w:rsidRPr="00810D1B">
        <w:rPr>
          <w:b/>
          <w:bCs/>
          <w:sz w:val="28"/>
          <w:szCs w:val="28"/>
        </w:rPr>
        <w:t>January 2021</w:t>
      </w:r>
    </w:p>
    <w:p w14:paraId="24F167F4" w14:textId="77777777" w:rsidR="006C75DD" w:rsidRPr="00810D1B" w:rsidRDefault="006C75DD" w:rsidP="00CC7BC9">
      <w:pPr>
        <w:jc w:val="center"/>
        <w:rPr>
          <w:b/>
          <w:bCs/>
          <w:sz w:val="28"/>
          <w:szCs w:val="28"/>
        </w:rPr>
      </w:pPr>
    </w:p>
    <w:p w14:paraId="7C27D53D" w14:textId="2B04CDCA" w:rsidR="003A5042" w:rsidRPr="00900BB4" w:rsidRDefault="0005091A" w:rsidP="00900BB4">
      <w:pPr>
        <w:rPr>
          <w:rFonts w:ascii="Cambria" w:hAnsi="Cambria"/>
        </w:rPr>
      </w:pPr>
      <w:r w:rsidRPr="00900BB4">
        <w:rPr>
          <w:rFonts w:ascii="Cambria" w:hAnsi="Cambria"/>
        </w:rPr>
        <w:t xml:space="preserve">Calcium is one of the most important </w:t>
      </w:r>
      <w:r w:rsidR="006C75DD" w:rsidRPr="00900BB4">
        <w:rPr>
          <w:rFonts w:ascii="Cambria" w:hAnsi="Cambria"/>
        </w:rPr>
        <w:t xml:space="preserve">and abundant </w:t>
      </w:r>
      <w:r w:rsidRPr="00900BB4">
        <w:rPr>
          <w:rFonts w:ascii="Cambria" w:hAnsi="Cambria"/>
        </w:rPr>
        <w:t xml:space="preserve">minerals </w:t>
      </w:r>
      <w:r w:rsidR="006C75DD" w:rsidRPr="00900BB4">
        <w:rPr>
          <w:rFonts w:ascii="Cambria" w:hAnsi="Cambria"/>
        </w:rPr>
        <w:t xml:space="preserve">in our bodies. Nearly all of our bones and teeth are made of calcium. </w:t>
      </w:r>
      <w:r w:rsidR="00900BB4" w:rsidRPr="00900BB4">
        <w:rPr>
          <w:rFonts w:ascii="Cambria" w:hAnsi="Cambria"/>
        </w:rPr>
        <w:t>C</w:t>
      </w:r>
      <w:r w:rsidR="006C75DD" w:rsidRPr="00900BB4">
        <w:rPr>
          <w:rFonts w:ascii="Cambria" w:hAnsi="Cambria"/>
        </w:rPr>
        <w:t>alcium also plays an important role in cardiovascular health</w:t>
      </w:r>
      <w:r w:rsidR="000E5628" w:rsidRPr="00900BB4">
        <w:rPr>
          <w:rFonts w:ascii="Cambria" w:hAnsi="Cambria"/>
        </w:rPr>
        <w:t xml:space="preserve">, muscle contraction and </w:t>
      </w:r>
      <w:r w:rsidR="00900BB4" w:rsidRPr="00900BB4">
        <w:rPr>
          <w:rFonts w:ascii="Cambria" w:hAnsi="Cambria"/>
        </w:rPr>
        <w:t>blood clotting and enzymatic functions</w:t>
      </w:r>
      <w:r w:rsidR="006C75DD" w:rsidRPr="00900BB4">
        <w:rPr>
          <w:rFonts w:ascii="Cambria" w:hAnsi="Cambria"/>
        </w:rPr>
        <w:t>.</w:t>
      </w:r>
    </w:p>
    <w:p w14:paraId="091CCD21" w14:textId="03F26100" w:rsidR="00574DBF" w:rsidRPr="00810D1B" w:rsidRDefault="00574DBF" w:rsidP="00574DBF">
      <w:pPr>
        <w:rPr>
          <w:rFonts w:ascii="Cambria" w:hAnsi="Cambria"/>
        </w:rPr>
      </w:pPr>
      <w:r w:rsidRPr="00810D1B">
        <w:rPr>
          <w:rFonts w:ascii="Cambria" w:hAnsi="Cambria"/>
        </w:rPr>
        <w:t>When the body is deficient in calcium, it will pull this necessary mineral from bone.</w:t>
      </w:r>
      <w:r w:rsidR="00857BEA" w:rsidRPr="00810D1B">
        <w:rPr>
          <w:rFonts w:ascii="Cambria" w:hAnsi="Cambria"/>
        </w:rPr>
        <w:t xml:space="preserve"> A trace amount is needed for cardiovascular health and that is the body’s priority. Consequently,</w:t>
      </w:r>
      <w:r w:rsidRPr="00810D1B">
        <w:rPr>
          <w:rFonts w:ascii="Cambria" w:hAnsi="Cambria"/>
        </w:rPr>
        <w:t xml:space="preserve"> </w:t>
      </w:r>
      <w:r w:rsidR="00857BEA" w:rsidRPr="00810D1B">
        <w:rPr>
          <w:rFonts w:ascii="Cambria" w:hAnsi="Cambria"/>
        </w:rPr>
        <w:t>i</w:t>
      </w:r>
      <w:r w:rsidRPr="00810D1B">
        <w:rPr>
          <w:rFonts w:ascii="Cambria" w:hAnsi="Cambria"/>
        </w:rPr>
        <w:t xml:space="preserve">t is important </w:t>
      </w:r>
      <w:r w:rsidR="001F25D7" w:rsidRPr="00810D1B">
        <w:rPr>
          <w:rFonts w:ascii="Cambria" w:hAnsi="Cambria"/>
        </w:rPr>
        <w:t>for</w:t>
      </w:r>
      <w:r w:rsidRPr="00810D1B">
        <w:rPr>
          <w:rFonts w:ascii="Cambria" w:hAnsi="Cambria"/>
        </w:rPr>
        <w:t xml:space="preserve"> skeletal health that you maintain a balance of calcium with other minerals and nutrients that </w:t>
      </w:r>
      <w:r w:rsidR="00857BEA" w:rsidRPr="00810D1B">
        <w:rPr>
          <w:rFonts w:ascii="Cambria" w:hAnsi="Cambria"/>
        </w:rPr>
        <w:t xml:space="preserve">work together to support healthy </w:t>
      </w:r>
      <w:r w:rsidRPr="00810D1B">
        <w:rPr>
          <w:rFonts w:ascii="Cambria" w:hAnsi="Cambria"/>
        </w:rPr>
        <w:t>bones</w:t>
      </w:r>
      <w:r w:rsidR="001F25D7" w:rsidRPr="00810D1B">
        <w:rPr>
          <w:rFonts w:ascii="Cambria" w:hAnsi="Cambria"/>
        </w:rPr>
        <w:t>,</w:t>
      </w:r>
      <w:r w:rsidRPr="00810D1B">
        <w:rPr>
          <w:rFonts w:ascii="Cambria" w:hAnsi="Cambria"/>
        </w:rPr>
        <w:t xml:space="preserve"> includ</w:t>
      </w:r>
      <w:r w:rsidR="001F25D7" w:rsidRPr="00810D1B">
        <w:rPr>
          <w:rFonts w:ascii="Cambria" w:hAnsi="Cambria"/>
        </w:rPr>
        <w:t>ing</w:t>
      </w:r>
      <w:r w:rsidRPr="00810D1B">
        <w:rPr>
          <w:rFonts w:ascii="Cambria" w:hAnsi="Cambria"/>
        </w:rPr>
        <w:t xml:space="preserve"> magnesium, boron, </w:t>
      </w:r>
      <w:r w:rsidR="009B640F" w:rsidRPr="00810D1B">
        <w:rPr>
          <w:rFonts w:ascii="Cambria" w:hAnsi="Cambria"/>
        </w:rPr>
        <w:t xml:space="preserve">silicon, </w:t>
      </w:r>
      <w:r w:rsidRPr="00810D1B">
        <w:rPr>
          <w:rFonts w:ascii="Cambria" w:hAnsi="Cambria"/>
        </w:rPr>
        <w:t>strontium, vitamin K, and vitamin D. Of these nutrients, magnesium and vitamin D play</w:t>
      </w:r>
      <w:r w:rsidR="00857BEA" w:rsidRPr="00810D1B">
        <w:rPr>
          <w:rFonts w:ascii="Cambria" w:hAnsi="Cambria"/>
        </w:rPr>
        <w:t xml:space="preserve"> crucial</w:t>
      </w:r>
      <w:r w:rsidRPr="00810D1B">
        <w:rPr>
          <w:rFonts w:ascii="Cambria" w:hAnsi="Cambria"/>
        </w:rPr>
        <w:t xml:space="preserve"> role</w:t>
      </w:r>
      <w:r w:rsidR="009B640F" w:rsidRPr="00810D1B">
        <w:rPr>
          <w:rFonts w:ascii="Cambria" w:hAnsi="Cambria"/>
        </w:rPr>
        <w:t>s</w:t>
      </w:r>
      <w:r w:rsidRPr="00810D1B">
        <w:rPr>
          <w:rFonts w:ascii="Cambria" w:hAnsi="Cambria"/>
        </w:rPr>
        <w:t xml:space="preserve"> </w:t>
      </w:r>
      <w:r w:rsidR="001F25D7" w:rsidRPr="00810D1B">
        <w:rPr>
          <w:rFonts w:ascii="Cambria" w:hAnsi="Cambria"/>
        </w:rPr>
        <w:t>to activate</w:t>
      </w:r>
      <w:r w:rsidRPr="00810D1B">
        <w:rPr>
          <w:rFonts w:ascii="Cambria" w:hAnsi="Cambria"/>
        </w:rPr>
        <w:t xml:space="preserve"> calcium. There is a methodical trajectory to how these nutrients work</w:t>
      </w:r>
      <w:r w:rsidR="00457206" w:rsidRPr="00810D1B">
        <w:rPr>
          <w:rFonts w:ascii="Cambria" w:hAnsi="Cambria"/>
        </w:rPr>
        <w:t xml:space="preserve"> together</w:t>
      </w:r>
      <w:r w:rsidRPr="00810D1B">
        <w:rPr>
          <w:rFonts w:ascii="Cambria" w:hAnsi="Cambria"/>
        </w:rPr>
        <w:t xml:space="preserve">: magnesium helps vitamin D convert to its active form within the body. Calcitonin is a hormone released </w:t>
      </w:r>
      <w:r w:rsidR="00FA1CDF" w:rsidRPr="00810D1B">
        <w:rPr>
          <w:rFonts w:ascii="Cambria" w:hAnsi="Cambria"/>
        </w:rPr>
        <w:t xml:space="preserve">in the presence of vitamin D. Calcitonin works to remove calcium from the </w:t>
      </w:r>
      <w:r w:rsidR="00857BEA" w:rsidRPr="00810D1B">
        <w:rPr>
          <w:rFonts w:ascii="Cambria" w:hAnsi="Cambria"/>
        </w:rPr>
        <w:t xml:space="preserve">circulatory </w:t>
      </w:r>
      <w:r w:rsidR="00FA1CDF" w:rsidRPr="00810D1B">
        <w:rPr>
          <w:rFonts w:ascii="Cambria" w:hAnsi="Cambria"/>
        </w:rPr>
        <w:t xml:space="preserve">system and lay it down as bone. </w:t>
      </w:r>
    </w:p>
    <w:p w14:paraId="375EBDAF" w14:textId="7FA4DB2C" w:rsidR="00857BEA" w:rsidRPr="00810D1B" w:rsidRDefault="00857BEA" w:rsidP="00574DBF">
      <w:pPr>
        <w:rPr>
          <w:rFonts w:ascii="Cambria" w:hAnsi="Cambria"/>
        </w:rPr>
      </w:pPr>
      <w:r w:rsidRPr="00810D1B">
        <w:rPr>
          <w:rFonts w:ascii="Cambria" w:hAnsi="Cambria"/>
          <w:b/>
          <w:bCs/>
        </w:rPr>
        <w:t>Magnesium</w:t>
      </w:r>
      <w:r w:rsidR="00B66D1D" w:rsidRPr="00810D1B">
        <w:rPr>
          <w:rFonts w:ascii="Cambria" w:hAnsi="Cambria"/>
          <w:b/>
          <w:bCs/>
        </w:rPr>
        <w:t xml:space="preserve"> </w:t>
      </w:r>
      <w:r w:rsidR="00B66D1D" w:rsidRPr="00810D1B">
        <w:rPr>
          <w:rFonts w:ascii="Cambria" w:hAnsi="Cambria"/>
        </w:rPr>
        <w:t>(Mg) from</w:t>
      </w:r>
      <w:r w:rsidRPr="00810D1B">
        <w:rPr>
          <w:rFonts w:ascii="Cambria" w:hAnsi="Cambria"/>
        </w:rPr>
        <w:t xml:space="preserve"> foods – green leafy vegetables, avocado, sunflower seeds, cashews, flaxseeds, almonds, black beans or supplemental Mg</w:t>
      </w:r>
      <w:r w:rsidR="001F25D7" w:rsidRPr="00810D1B">
        <w:rPr>
          <w:rFonts w:ascii="Cambria" w:hAnsi="Cambria"/>
        </w:rPr>
        <w:t xml:space="preserve"> (malate, glycinate)</w:t>
      </w:r>
    </w:p>
    <w:p w14:paraId="3A375729" w14:textId="5EAA8042" w:rsidR="00857BEA" w:rsidRPr="0005091A" w:rsidRDefault="0005091A" w:rsidP="00574DBF">
      <w:pPr>
        <w:rPr>
          <w:rFonts w:ascii="Cambria" w:hAnsi="Cambria"/>
          <w:b/>
          <w:bCs/>
          <w:color w:val="0070C0"/>
          <w:sz w:val="36"/>
          <w:szCs w:val="36"/>
        </w:rPr>
      </w:pPr>
      <w:r w:rsidRPr="0005091A">
        <w:rPr>
          <w:rFonts w:ascii="Cambria" w:hAnsi="Cambria"/>
          <w:b/>
          <w:bCs/>
          <w:color w:val="0070C0"/>
          <w:sz w:val="36"/>
          <w:szCs w:val="36"/>
        </w:rPr>
        <w:t>+</w:t>
      </w:r>
    </w:p>
    <w:p w14:paraId="03878BF1" w14:textId="10DF396B" w:rsidR="00776088" w:rsidRPr="00810D1B" w:rsidRDefault="00857BEA" w:rsidP="00574DBF">
      <w:pPr>
        <w:rPr>
          <w:rFonts w:ascii="Cambria" w:hAnsi="Cambria"/>
        </w:rPr>
      </w:pPr>
      <w:r w:rsidRPr="00810D1B">
        <w:rPr>
          <w:rFonts w:ascii="Cambria" w:hAnsi="Cambria"/>
          <w:b/>
          <w:bCs/>
        </w:rPr>
        <w:t>Vitamin D</w:t>
      </w:r>
      <w:r w:rsidRPr="00810D1B">
        <w:rPr>
          <w:rFonts w:ascii="Cambria" w:hAnsi="Cambria"/>
        </w:rPr>
        <w:t xml:space="preserve"> from the sun, fortified milk, orange juice or supplemental vitamin D3.</w:t>
      </w:r>
      <w:r w:rsidR="00776088" w:rsidRPr="00810D1B">
        <w:rPr>
          <w:rFonts w:ascii="Cambria" w:hAnsi="Cambria"/>
        </w:rPr>
        <w:t xml:space="preserve"> I encourage my clients to get out in the sun for 15 minutes, every day, without sunscreen. Most of us live in areas where we can’t make enough vitamin D from sun exposure. </w:t>
      </w:r>
      <w:r w:rsidR="00035FF4" w:rsidRPr="00810D1B">
        <w:rPr>
          <w:rFonts w:ascii="Cambria" w:hAnsi="Cambria"/>
        </w:rPr>
        <w:t>Spending time</w:t>
      </w:r>
      <w:r w:rsidR="005815B6" w:rsidRPr="00810D1B">
        <w:rPr>
          <w:rFonts w:ascii="Cambria" w:hAnsi="Cambria"/>
        </w:rPr>
        <w:t xml:space="preserve"> outdoors and </w:t>
      </w:r>
      <w:r w:rsidR="00776088" w:rsidRPr="00810D1B">
        <w:rPr>
          <w:rFonts w:ascii="Cambria" w:hAnsi="Cambria"/>
        </w:rPr>
        <w:t xml:space="preserve">sun exposure </w:t>
      </w:r>
      <w:r w:rsidR="00035FF4" w:rsidRPr="00810D1B">
        <w:rPr>
          <w:rFonts w:ascii="Cambria" w:hAnsi="Cambria"/>
        </w:rPr>
        <w:t>are</w:t>
      </w:r>
      <w:r w:rsidR="00776088" w:rsidRPr="00810D1B">
        <w:rPr>
          <w:rFonts w:ascii="Cambria" w:hAnsi="Cambria"/>
        </w:rPr>
        <w:t xml:space="preserve"> important for mood and overall health. </w:t>
      </w:r>
    </w:p>
    <w:p w14:paraId="60254978" w14:textId="25AF66D7" w:rsidR="00410CFC" w:rsidRPr="0005091A" w:rsidRDefault="0005091A" w:rsidP="0005091A">
      <w:pPr>
        <w:pStyle w:val="ListParagraph"/>
        <w:ind w:left="1800"/>
        <w:rPr>
          <w:rFonts w:ascii="Cambria" w:hAnsi="Cambria"/>
        </w:rPr>
      </w:pP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7D531" wp14:editId="430E582E">
                <wp:simplePos x="0" y="0"/>
                <wp:positionH relativeFrom="column">
                  <wp:posOffset>2104376</wp:posOffset>
                </wp:positionH>
                <wp:positionV relativeFrom="paragraph">
                  <wp:posOffset>23495</wp:posOffset>
                </wp:positionV>
                <wp:extent cx="225425" cy="172085"/>
                <wp:effectExtent l="0" t="12700" r="28575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2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D1F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65.7pt;margin-top:1.85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6WvdQIAAEAFAAAOAAAAZHJzL2Uyb0RvYy54bWysVMFu2zAMvQ/YPwi6r3aMZOuCOkXQosOA&#13;&#10;oi3aDj2rshQLkEWNUuJkXz9KdtyiHXYYloMiieQj+fyos/N9Z9lOYTDgaj47KTlTTkJj3KbmPx6v&#13;&#10;Pp1yFqJwjbDgVM0PKvDz1ccPZ71fqgpasI1CRiAuLHtf8zZGvyyKIFvViXACXjkyasBORDripmhQ&#13;&#10;9ITe2aIqy89FD9h4BKlCoNvLwchXGV9rJeOt1kFFZmtOtcW8Yl6f01qszsRyg8K3Ro5liH+oohPG&#13;&#10;UdIJ6lJEwbZo3kF1RiIE0PFEQleA1kaq3AN1MyvfdPPQCq9yL0RO8BNN4f/BypvdHTLT1LzizImO&#13;&#10;PtG92bSRrRGhZ1UiqPdhSX4P/g7HU6Bt6navsUv/1AfbZ1IPE6lqH5mky6pazKsFZ5JMsy9VebpI&#13;&#10;mMVLsMcQvynoWNrUHFP6nD0TKnbXIQ4BR0eKTiUNReRdPFiV6rDuXmnqJqXN0VlH6sIi2wlSgJBS&#13;&#10;uTgbTK1o1HC9KOk3VjVF5BozYELWxtoJewRIGn2PPdQ6+qdQlWU4BZd/K2wIniJyZnBxCu6MA/wT&#13;&#10;gKWuxsyD/5GkgZrE0jM0B/rWCMMQBC+vDDF+LUK8E0iqp/mgSY63tGgLfc1h3HHWAv76033yJzGS&#13;&#10;lbOepqjm4edWoOLMfnck06+z+TyNXT7MF/T5OcPXlufXFrftLoA+04zeDC/zNvlHe9xqhO6JBn6d&#13;&#10;spJJOEm5ay4jHg8XcZhuejKkWq+zG42aF/HaPXiZwBOrSUuP+yeBfpRdJL3ewHHixPKN7gbfFOlg&#13;&#10;vY2gTRblC68j3zSmWTjjk5Legdfn7PXy8K1+AwAA//8DAFBLAwQUAAYACAAAACEAX0SNNuIAAAAN&#13;&#10;AQAADwAAAGRycy9kb3ducmV2LnhtbExPTU+DQBC9m/gfNmPizS6VBpCyNGpjtB6MVg8etzACKTtL&#13;&#10;2OWj/77jSS+TN3kz7yPbzKYVI/ausaRguQhAIBW2bKhS8PX5dJOAcF5TqVtLqOCEDjb55UWm09JO&#13;&#10;9IHj3leCRcilWkHtfZdK6YoajXYL2yEx92N7oz2vfSXLXk8sblp5GwSRNLohdqh1h481Fsf9YBQk&#13;&#10;q+H0/hA/H+1uu3ud3MswfsdvSl1fzds1j/s1CI+z//uA3w6cH3IOdrADlU60CsJwueJTBjEI5sMo&#13;&#10;ugNxYBAkIPNM/m+RnwEAAP//AwBQSwECLQAUAAYACAAAACEAtoM4kv4AAADhAQAAEwAAAAAAAAAA&#13;&#10;AAAAAAAAAAAAW0NvbnRlbnRfVHlwZXNdLnhtbFBLAQItABQABgAIAAAAIQA4/SH/1gAAAJQBAAAL&#13;&#10;AAAAAAAAAAAAAAAAAC8BAABfcmVscy8ucmVsc1BLAQItABQABgAIAAAAIQDDg6WvdQIAAEAFAAAO&#13;&#10;AAAAAAAAAAAAAAAAAC4CAABkcnMvZTJvRG9jLnhtbFBLAQItABQABgAIAAAAIQBfRI024gAAAA0B&#13;&#10;AAAPAAAAAAAAAAAAAAAAAM8EAABkcnMvZG93bnJldi54bWxQSwUGAAAAAAQABADzAAAA3gUAAAAA&#13;&#10;" adj="13355" fillcolor="#4472c4 [3204]" strokecolor="#1f3763 [1604]" strokeweight="1pt"/>
            </w:pict>
          </mc:Fallback>
        </mc:AlternateContent>
      </w:r>
      <w:r>
        <w:rPr>
          <w:rFonts w:ascii="Cambria" w:hAnsi="Cambr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95EB8" wp14:editId="72FE850A">
                <wp:simplePos x="0" y="0"/>
                <wp:positionH relativeFrom="column">
                  <wp:posOffset>842481</wp:posOffset>
                </wp:positionH>
                <wp:positionV relativeFrom="paragraph">
                  <wp:posOffset>24764</wp:posOffset>
                </wp:positionV>
                <wp:extent cx="226032" cy="172235"/>
                <wp:effectExtent l="0" t="12700" r="2857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32" cy="1722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868C" id="Right Arrow 4" o:spid="_x0000_s1026" type="#_x0000_t13" style="position:absolute;margin-left:66.35pt;margin-top:1.95pt;width:17.8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/OIdgIAAEAFAAAOAAAAZHJzL2Uyb0RvYy54bWysVFFP2zAQfp+0/2D5fSQNBbaqKapATJMQ&#13;&#10;VMDEs+vYTSTH553dpt2v39lJAwK0h2l9cG3f3Xd3X77z/HLfGrZT6BuwJZ+c5JwpK6Fq7KbkP59u&#13;&#10;vnzlzAdhK2HAqpIflOeXi8+f5p2bqQJqMJVCRiDWzzpX8joEN8syL2vVCn8CTlkyasBWBDriJqtQ&#13;&#10;dITemqzI8/OsA6wcglTe0+11b+SLhK+1kuFea68CMyWn2kJaMa3ruGaLuZhtULi6kUMZ4h+qaEVj&#13;&#10;KekIdS2CYFts3kG1jUTwoMOJhDYDrRupUg/UzSR/081jLZxKvRA53o00+f8HK+92K2RNVfIpZ1a0&#13;&#10;9Ikemk0d2BIROjaNBHXOz8jv0a1wOHnaxm73Gtv4T32wfSL1MJKq9oFJuiyK8/y04EySaXJRFKdn&#13;&#10;ETN7CXbow3cFLYubkmNMn7InQsXu1oc+4OhI0bGkvoi0CwejYh3GPihN3cS0KTrpSF0ZZDtBChBS&#13;&#10;KhsmvakWleqvz3L6DVWNEanGBBiRdWPMiD0ARI2+x+5rHfxjqEoyHIPzvxXWB48RKTPYMAa3jQX8&#13;&#10;CMBQV0Pm3v9IUk9NZGkN1YG+NUI/BN7Jm4YYvxU+rASS6mk+aJLDPS3aQFdyGHac1YC/P7qP/iRG&#13;&#10;snLW0RSV3P/aClScmR+WZPptMp3GsUuH6dlFQQd8bVm/tthtewX0mSb0ZjiZttE/mONWI7TPNPDL&#13;&#10;mJVMwkrKXXIZ8Hi4Cv1005Mh1XKZ3GjUnAi39tHJCB5ZjVp62j8LdIPsAun1Do4TJ2ZvdNf7xkgL&#13;&#10;y20A3SRRvvA68E1jmoQzPCnxHXh9Tl4vD9/iDwAAAP//AwBQSwMEFAAGAAgAAAAhAPO3NgDjAAAA&#13;&#10;DQEAAA8AAABkcnMvZG93bnJldi54bWxMj8FOwzAQRO9I/IO1SFwQtZuItqRxKkSE4NALLULi5sZL&#13;&#10;HBHbUey0hq9ne4LLSk+zOztTbpLt2RHH0HknYT4TwNA1XneulfC2f7pdAQtROa1671DCNwbYVJcX&#13;&#10;pSq0P7lXPO5iy8jEhUJJMDEOBeehMWhVmPkBHWmffrQqEo4t16M6kbnteSbEglvVOfpg1ICPBpuv&#13;&#10;3WQlfNxNVrx05kc8b7ObZXqv6zTupby+SvWaxsMaWMQU/y7g3IHyQ0XBDn5yOrCeOM+WtCohvwd2&#13;&#10;1herHNiBeC6AVyX/36L6BQAA//8DAFBLAQItABQABgAIAAAAIQC2gziS/gAAAOEBAAATAAAAAAAA&#13;&#10;AAAAAAAAAAAAAABbQ29udGVudF9UeXBlc10ueG1sUEsBAi0AFAAGAAgAAAAhADj9If/WAAAAlAEA&#13;&#10;AAsAAAAAAAAAAAAAAAAALwEAAF9yZWxzLy5yZWxzUEsBAi0AFAAGAAgAAAAhALJj84h2AgAAQAUA&#13;&#10;AA4AAAAAAAAAAAAAAAAALgIAAGRycy9lMm9Eb2MueG1sUEsBAi0AFAAGAAgAAAAhAPO3NgDjAAAA&#13;&#10;DQEAAA8AAAAAAAAAAAAAAAAA0AQAAGRycy9kb3ducmV2LnhtbFBLBQYAAAAABAAEAPMAAADgBQAA&#13;&#10;AAA=&#13;&#10;" adj="13370" fillcolor="#4472c4 [3204]" strokecolor="#1f3763 [1604]" strokeweight="1pt"/>
            </w:pict>
          </mc:Fallback>
        </mc:AlternateContent>
      </w:r>
      <w:r w:rsidR="00857BEA" w:rsidRPr="0005091A">
        <w:rPr>
          <w:rFonts w:ascii="Cambria" w:hAnsi="Cambria"/>
          <w:b/>
          <w:bCs/>
        </w:rPr>
        <w:t>Calcium</w:t>
      </w:r>
      <w:r w:rsidR="00B66D1D" w:rsidRPr="0005091A">
        <w:rPr>
          <w:rFonts w:ascii="Cambria" w:hAnsi="Cambria"/>
          <w:b/>
          <w:bCs/>
        </w:rPr>
        <w:t xml:space="preserve"> </w:t>
      </w:r>
      <w:r w:rsidR="00B66D1D" w:rsidRPr="0005091A">
        <w:rPr>
          <w:rFonts w:ascii="Cambria" w:hAnsi="Cambria"/>
        </w:rPr>
        <w:t>(</w:t>
      </w:r>
      <w:r w:rsidRPr="0005091A">
        <w:rPr>
          <w:rFonts w:ascii="Cambria" w:hAnsi="Cambria"/>
        </w:rPr>
        <w:t xml:space="preserve">Ca) </w:t>
      </w:r>
      <w:r>
        <w:rPr>
          <w:rFonts w:ascii="Cambria" w:hAnsi="Cambria"/>
          <w:b/>
          <w:bCs/>
        </w:rPr>
        <w:t xml:space="preserve">          </w:t>
      </w:r>
      <w:r w:rsidR="00857BEA" w:rsidRPr="0005091A">
        <w:rPr>
          <w:rFonts w:ascii="Cambria" w:hAnsi="Cambria"/>
          <w:b/>
          <w:bCs/>
        </w:rPr>
        <w:t>bone</w:t>
      </w:r>
      <w:r w:rsidR="009725D1" w:rsidRPr="0005091A">
        <w:rPr>
          <w:rFonts w:ascii="Cambria" w:hAnsi="Cambria"/>
          <w:b/>
          <w:bCs/>
        </w:rPr>
        <w:t>/structural</w:t>
      </w:r>
      <w:r w:rsidR="00857BEA" w:rsidRPr="0005091A">
        <w:rPr>
          <w:rFonts w:ascii="Cambria" w:hAnsi="Cambria"/>
          <w:b/>
          <w:bCs/>
        </w:rPr>
        <w:t xml:space="preserve"> integrity</w:t>
      </w:r>
    </w:p>
    <w:p w14:paraId="3926DF10" w14:textId="4CA386D4" w:rsidR="00574DBF" w:rsidRPr="00810D1B" w:rsidRDefault="00574DBF">
      <w:pPr>
        <w:rPr>
          <w:rFonts w:ascii="Cambria" w:hAnsi="Cambria"/>
        </w:rPr>
      </w:pPr>
      <w:r w:rsidRPr="00810D1B">
        <w:rPr>
          <w:rFonts w:ascii="Cambria" w:hAnsi="Cambria"/>
        </w:rPr>
        <w:t xml:space="preserve">Supplemental calcium comes in several forms – calcium carbonate is the most common. However, calcium citrate is the most absorbable and requires </w:t>
      </w:r>
      <w:r w:rsidR="00857BEA" w:rsidRPr="00810D1B">
        <w:rPr>
          <w:rFonts w:ascii="Cambria" w:hAnsi="Cambria"/>
        </w:rPr>
        <w:t xml:space="preserve">less </w:t>
      </w:r>
      <w:r w:rsidRPr="00810D1B">
        <w:rPr>
          <w:rFonts w:ascii="Cambria" w:hAnsi="Cambria"/>
        </w:rPr>
        <w:t xml:space="preserve">to be </w:t>
      </w:r>
      <w:r w:rsidR="00857BEA" w:rsidRPr="00810D1B">
        <w:rPr>
          <w:rFonts w:ascii="Cambria" w:hAnsi="Cambria"/>
        </w:rPr>
        <w:t>a</w:t>
      </w:r>
      <w:r w:rsidRPr="00810D1B">
        <w:rPr>
          <w:rFonts w:ascii="Cambria" w:hAnsi="Cambria"/>
        </w:rPr>
        <w:t xml:space="preserve">ffective. </w:t>
      </w:r>
      <w:r w:rsidR="00776088" w:rsidRPr="00810D1B">
        <w:rPr>
          <w:rFonts w:ascii="Cambria" w:hAnsi="Cambria"/>
        </w:rPr>
        <w:t xml:space="preserve">Look for a supplement that combines </w:t>
      </w:r>
      <w:r w:rsidR="00EB4CBF" w:rsidRPr="00810D1B">
        <w:rPr>
          <w:rFonts w:ascii="Cambria" w:hAnsi="Cambria"/>
        </w:rPr>
        <w:t>calcium and magnesium in a 2:1 ratio.</w:t>
      </w:r>
      <w:r w:rsidR="00CC7BC9" w:rsidRPr="00810D1B">
        <w:rPr>
          <w:rFonts w:ascii="Cambria" w:hAnsi="Cambria"/>
        </w:rPr>
        <w:t xml:space="preserve"> If you become constipated, you can take them in equal amounts. Your body can only absorb 500 mg of calcium at a time.</w:t>
      </w:r>
    </w:p>
    <w:p w14:paraId="0FED7FBD" w14:textId="254A3A99" w:rsidR="00EB4CBF" w:rsidRPr="00810D1B" w:rsidRDefault="00EB4CBF">
      <w:pPr>
        <w:rPr>
          <w:rFonts w:ascii="Cambria" w:hAnsi="Cambria"/>
        </w:rPr>
      </w:pPr>
    </w:p>
    <w:p w14:paraId="2BB6B741" w14:textId="6D0BAF77" w:rsidR="00EB4CBF" w:rsidRPr="00810D1B" w:rsidRDefault="00EB4CBF">
      <w:pPr>
        <w:rPr>
          <w:rFonts w:ascii="Cambria" w:hAnsi="Cambria"/>
        </w:rPr>
      </w:pPr>
      <w:r w:rsidRPr="00810D1B">
        <w:rPr>
          <w:rFonts w:ascii="Cambria" w:hAnsi="Cambria"/>
        </w:rPr>
        <w:t xml:space="preserve">Foods to </w:t>
      </w:r>
      <w:r w:rsidR="009725D1" w:rsidRPr="00810D1B">
        <w:rPr>
          <w:rFonts w:ascii="Cambria" w:hAnsi="Cambria"/>
        </w:rPr>
        <w:t xml:space="preserve">support </w:t>
      </w:r>
      <w:r w:rsidR="00044B7B" w:rsidRPr="00810D1B">
        <w:rPr>
          <w:rFonts w:ascii="Cambria" w:hAnsi="Cambria"/>
        </w:rPr>
        <w:t>bone</w:t>
      </w:r>
      <w:r w:rsidR="009725D1" w:rsidRPr="00810D1B">
        <w:rPr>
          <w:rFonts w:ascii="Cambria" w:hAnsi="Cambria"/>
        </w:rPr>
        <w:t xml:space="preserve"> health and help with osteopenia and osteoporosis</w:t>
      </w:r>
      <w:r w:rsidRPr="00810D1B">
        <w:rPr>
          <w:rFonts w:ascii="Cambria" w:hAnsi="Cambria"/>
        </w:rPr>
        <w:t>:</w:t>
      </w:r>
    </w:p>
    <w:p w14:paraId="0A6ADACD" w14:textId="419A8079" w:rsidR="00EB4CBF" w:rsidRPr="00810D1B" w:rsidRDefault="00EB4CBF" w:rsidP="008B1F79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Green leaf</w:t>
      </w:r>
      <w:r w:rsidR="00B66D1D" w:rsidRPr="00810D1B">
        <w:rPr>
          <w:rFonts w:ascii="Cambria" w:hAnsi="Cambria"/>
          <w:sz w:val="22"/>
          <w:szCs w:val="22"/>
        </w:rPr>
        <w:t>y vegetables are</w:t>
      </w:r>
      <w:r w:rsidRPr="00810D1B">
        <w:rPr>
          <w:rFonts w:ascii="Cambria" w:hAnsi="Cambria"/>
          <w:sz w:val="22"/>
          <w:szCs w:val="22"/>
        </w:rPr>
        <w:t xml:space="preserve"> high in vitamin K and contain </w:t>
      </w:r>
      <w:r w:rsidR="00B66D1D" w:rsidRPr="00810D1B">
        <w:rPr>
          <w:rFonts w:ascii="Cambria" w:hAnsi="Cambria"/>
          <w:sz w:val="22"/>
          <w:szCs w:val="22"/>
        </w:rPr>
        <w:t>Ca, Mg</w:t>
      </w:r>
      <w:r w:rsidRPr="00810D1B">
        <w:rPr>
          <w:rFonts w:ascii="Cambria" w:hAnsi="Cambria"/>
          <w:sz w:val="22"/>
          <w:szCs w:val="22"/>
        </w:rPr>
        <w:t xml:space="preserve"> and other minerals</w:t>
      </w:r>
    </w:p>
    <w:p w14:paraId="6FFD474C" w14:textId="61B90C0A" w:rsidR="00EB4CBF" w:rsidRPr="00810D1B" w:rsidRDefault="00EB4CBF" w:rsidP="00CC7BC9">
      <w:pPr>
        <w:pStyle w:val="ListParagraph"/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Kale, spinach, watercress, dandelion</w:t>
      </w:r>
      <w:r w:rsidR="00900BB4">
        <w:rPr>
          <w:rFonts w:ascii="Cambria" w:hAnsi="Cambria"/>
          <w:sz w:val="22"/>
          <w:szCs w:val="22"/>
        </w:rPr>
        <w:t xml:space="preserve"> and mustard</w:t>
      </w:r>
      <w:r w:rsidRPr="00810D1B">
        <w:rPr>
          <w:rFonts w:ascii="Cambria" w:hAnsi="Cambria"/>
          <w:sz w:val="22"/>
          <w:szCs w:val="22"/>
        </w:rPr>
        <w:t xml:space="preserve"> greens, parsley</w:t>
      </w:r>
      <w:r w:rsidR="001F25D7" w:rsidRPr="00810D1B">
        <w:rPr>
          <w:rFonts w:ascii="Cambria" w:hAnsi="Cambria"/>
          <w:sz w:val="22"/>
          <w:szCs w:val="22"/>
        </w:rPr>
        <w:t>, bok choy</w:t>
      </w:r>
    </w:p>
    <w:p w14:paraId="0270623D" w14:textId="3DB34C48" w:rsidR="00EB4CBF" w:rsidRPr="00810D1B" w:rsidRDefault="00CC7BC9" w:rsidP="008B1F79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Make each meal 2/3 alkaline</w:t>
      </w:r>
      <w:r w:rsidR="009725D1" w:rsidRPr="00810D1B">
        <w:rPr>
          <w:rFonts w:ascii="Cambria" w:hAnsi="Cambria"/>
          <w:sz w:val="22"/>
          <w:szCs w:val="22"/>
        </w:rPr>
        <w:t xml:space="preserve"> (vs. acid)</w:t>
      </w:r>
      <w:r w:rsidR="00EB4CBF" w:rsidRPr="00810D1B">
        <w:rPr>
          <w:rFonts w:ascii="Cambria" w:hAnsi="Cambria"/>
          <w:sz w:val="22"/>
          <w:szCs w:val="22"/>
        </w:rPr>
        <w:t xml:space="preserve">: avocado, </w:t>
      </w:r>
      <w:r w:rsidR="008B1F79" w:rsidRPr="00810D1B">
        <w:rPr>
          <w:rFonts w:ascii="Cambria" w:hAnsi="Cambria"/>
          <w:sz w:val="22"/>
          <w:szCs w:val="22"/>
        </w:rPr>
        <w:t xml:space="preserve">sweet potato, yam, </w:t>
      </w:r>
      <w:r w:rsidRPr="00810D1B">
        <w:rPr>
          <w:rFonts w:ascii="Cambria" w:hAnsi="Cambria"/>
          <w:sz w:val="22"/>
          <w:szCs w:val="22"/>
        </w:rPr>
        <w:t xml:space="preserve">asparagus, broccoli, </w:t>
      </w:r>
      <w:r w:rsidR="00EB4CBF" w:rsidRPr="00810D1B">
        <w:rPr>
          <w:rFonts w:ascii="Cambria" w:hAnsi="Cambria"/>
          <w:sz w:val="22"/>
          <w:szCs w:val="22"/>
        </w:rPr>
        <w:t>add lime or lemon juice to water between meals, vegetables and fruits</w:t>
      </w:r>
      <w:r w:rsidR="008B1F79" w:rsidRPr="00810D1B">
        <w:rPr>
          <w:rFonts w:ascii="Cambria" w:hAnsi="Cambria"/>
          <w:sz w:val="22"/>
          <w:szCs w:val="22"/>
        </w:rPr>
        <w:t>, lentils</w:t>
      </w:r>
      <w:r w:rsidRPr="00810D1B">
        <w:rPr>
          <w:rFonts w:ascii="Cambria" w:hAnsi="Cambria"/>
          <w:sz w:val="22"/>
          <w:szCs w:val="22"/>
        </w:rPr>
        <w:t>, pumpkin seeds</w:t>
      </w:r>
    </w:p>
    <w:p w14:paraId="43C0122C" w14:textId="4ECD8EEF" w:rsidR="001F25D7" w:rsidRPr="00810D1B" w:rsidRDefault="001F25D7" w:rsidP="001F25D7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 xml:space="preserve">Organic, preferably locally </w:t>
      </w:r>
      <w:r w:rsidR="00044B7B" w:rsidRPr="00810D1B">
        <w:rPr>
          <w:rFonts w:ascii="Cambria" w:hAnsi="Cambria"/>
          <w:sz w:val="22"/>
          <w:szCs w:val="22"/>
        </w:rPr>
        <w:t>sourced</w:t>
      </w:r>
      <w:r w:rsidRPr="00810D1B">
        <w:rPr>
          <w:rFonts w:ascii="Cambria" w:hAnsi="Cambria"/>
          <w:sz w:val="22"/>
          <w:szCs w:val="22"/>
        </w:rPr>
        <w:t xml:space="preserve"> dairy products if tolerated are high in calcium</w:t>
      </w:r>
    </w:p>
    <w:p w14:paraId="3EF14F6D" w14:textId="49985E71" w:rsidR="00044B7B" w:rsidRPr="00810D1B" w:rsidRDefault="00044B7B" w:rsidP="00044B7B">
      <w:pPr>
        <w:pStyle w:val="ListParagraph"/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 xml:space="preserve">Whole milk, yogurt and cheeses are easier to digest than milk or ice cream </w:t>
      </w:r>
    </w:p>
    <w:p w14:paraId="756BF04F" w14:textId="2700FBFD" w:rsidR="00044B7B" w:rsidRPr="00810D1B" w:rsidRDefault="00044B7B" w:rsidP="00044B7B">
      <w:pPr>
        <w:pStyle w:val="ListParagraph"/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Sheep and goat’s dairy products are also easier to digest</w:t>
      </w:r>
      <w:r w:rsidR="00CE6E10" w:rsidRPr="00810D1B">
        <w:rPr>
          <w:rFonts w:ascii="Cambria" w:hAnsi="Cambria"/>
          <w:sz w:val="22"/>
          <w:szCs w:val="22"/>
        </w:rPr>
        <w:t xml:space="preserve"> and often local</w:t>
      </w:r>
    </w:p>
    <w:p w14:paraId="719A51FF" w14:textId="7D1C9FEB" w:rsidR="00EB4CBF" w:rsidRPr="00810D1B" w:rsidRDefault="001F25D7" w:rsidP="001F25D7">
      <w:pPr>
        <w:pStyle w:val="ListParagraph"/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Other sources include sardines, a</w:t>
      </w:r>
      <w:r w:rsidR="00EB4CBF" w:rsidRPr="00810D1B">
        <w:rPr>
          <w:rFonts w:ascii="Cambria" w:hAnsi="Cambria"/>
          <w:sz w:val="22"/>
          <w:szCs w:val="22"/>
        </w:rPr>
        <w:t>lmonds</w:t>
      </w:r>
      <w:r w:rsidR="00CC7BC9" w:rsidRPr="00810D1B">
        <w:rPr>
          <w:rFonts w:ascii="Cambria" w:hAnsi="Cambria"/>
          <w:sz w:val="22"/>
          <w:szCs w:val="22"/>
        </w:rPr>
        <w:t xml:space="preserve"> and </w:t>
      </w:r>
      <w:r w:rsidR="008B1F79" w:rsidRPr="00810D1B">
        <w:rPr>
          <w:rFonts w:ascii="Cambria" w:hAnsi="Cambria"/>
          <w:sz w:val="22"/>
          <w:szCs w:val="22"/>
        </w:rPr>
        <w:t>sesame seeds</w:t>
      </w:r>
      <w:r w:rsidRPr="00810D1B">
        <w:rPr>
          <w:rFonts w:ascii="Cambria" w:hAnsi="Cambria"/>
          <w:sz w:val="22"/>
          <w:szCs w:val="22"/>
        </w:rPr>
        <w:t>, raw broccoli and kale</w:t>
      </w:r>
    </w:p>
    <w:p w14:paraId="67B680BD" w14:textId="1CDEA879" w:rsidR="00EB4CBF" w:rsidRPr="00810D1B" w:rsidRDefault="00EB4CBF" w:rsidP="008B1F79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 xml:space="preserve">Sea vegetables – add dulse to soups, salads; use </w:t>
      </w:r>
      <w:r w:rsidR="00B66D1D" w:rsidRPr="00810D1B">
        <w:rPr>
          <w:rFonts w:ascii="Cambria" w:hAnsi="Cambria"/>
          <w:sz w:val="22"/>
          <w:szCs w:val="22"/>
        </w:rPr>
        <w:t xml:space="preserve">organic </w:t>
      </w:r>
      <w:r w:rsidRPr="00810D1B">
        <w:rPr>
          <w:rFonts w:ascii="Cambria" w:hAnsi="Cambria"/>
          <w:sz w:val="22"/>
          <w:szCs w:val="22"/>
        </w:rPr>
        <w:t>nori sheets instead of bread or tortillas for roll-ups</w:t>
      </w:r>
      <w:r w:rsidR="008B1F79" w:rsidRPr="00810D1B">
        <w:rPr>
          <w:rFonts w:ascii="Cambria" w:hAnsi="Cambria"/>
          <w:sz w:val="22"/>
          <w:szCs w:val="22"/>
        </w:rPr>
        <w:t>; wakame, kombu</w:t>
      </w:r>
      <w:r w:rsidR="00CC7BC9" w:rsidRPr="00810D1B">
        <w:rPr>
          <w:rFonts w:ascii="Cambria" w:hAnsi="Cambria"/>
          <w:sz w:val="22"/>
          <w:szCs w:val="22"/>
        </w:rPr>
        <w:t xml:space="preserve"> to soups and stews</w:t>
      </w:r>
    </w:p>
    <w:p w14:paraId="17CDCEBE" w14:textId="4D81123C" w:rsidR="00AA408F" w:rsidRPr="00810D1B" w:rsidRDefault="00AA408F">
      <w:pPr>
        <w:rPr>
          <w:rFonts w:ascii="Cambria" w:hAnsi="Cambria"/>
          <w:sz w:val="22"/>
          <w:szCs w:val="22"/>
        </w:rPr>
      </w:pPr>
    </w:p>
    <w:p w14:paraId="35B47ACC" w14:textId="048F741A" w:rsidR="0080023F" w:rsidRPr="00810D1B" w:rsidRDefault="002978C0">
      <w:pPr>
        <w:rPr>
          <w:rFonts w:ascii="Cambria" w:hAnsi="Cambria"/>
        </w:rPr>
      </w:pPr>
      <w:r w:rsidRPr="00810D1B">
        <w:rPr>
          <w:rFonts w:ascii="Cambria" w:hAnsi="Cambria"/>
        </w:rPr>
        <w:t>Other</w:t>
      </w:r>
      <w:r w:rsidR="0080023F" w:rsidRPr="00810D1B">
        <w:rPr>
          <w:rFonts w:ascii="Cambria" w:hAnsi="Cambria"/>
        </w:rPr>
        <w:t xml:space="preserve"> minerals that support bone</w:t>
      </w:r>
      <w:r w:rsidR="003A5042" w:rsidRPr="00810D1B">
        <w:rPr>
          <w:rFonts w:ascii="Cambria" w:hAnsi="Cambria"/>
        </w:rPr>
        <w:t>:</w:t>
      </w:r>
    </w:p>
    <w:p w14:paraId="5BC6F7A1" w14:textId="4A9F0907" w:rsidR="0080023F" w:rsidRPr="00810D1B" w:rsidRDefault="0080023F" w:rsidP="00810D1B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b/>
          <w:bCs/>
          <w:sz w:val="22"/>
          <w:szCs w:val="22"/>
        </w:rPr>
        <w:t>Boron</w:t>
      </w:r>
      <w:r w:rsidRPr="00810D1B">
        <w:rPr>
          <w:rFonts w:ascii="Cambria" w:hAnsi="Cambria"/>
          <w:sz w:val="22"/>
          <w:szCs w:val="22"/>
        </w:rPr>
        <w:t>: Limit</w:t>
      </w:r>
      <w:r w:rsidR="002978C0" w:rsidRPr="00810D1B">
        <w:rPr>
          <w:rFonts w:ascii="Cambria" w:hAnsi="Cambria"/>
          <w:sz w:val="22"/>
          <w:szCs w:val="22"/>
        </w:rPr>
        <w:t>s</w:t>
      </w:r>
      <w:r w:rsidRPr="00810D1B">
        <w:rPr>
          <w:rFonts w:ascii="Cambria" w:hAnsi="Cambria"/>
          <w:sz w:val="22"/>
          <w:szCs w:val="22"/>
        </w:rPr>
        <w:t xml:space="preserve"> bone resorption and help mineralize bones, especially calcium.</w:t>
      </w:r>
    </w:p>
    <w:p w14:paraId="60A9EC08" w14:textId="13BA6443" w:rsidR="0080023F" w:rsidRPr="006C75DD" w:rsidRDefault="0080023F" w:rsidP="006C75DD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Sources include avocado, sweet potatoes, artichokes, walnuts</w:t>
      </w:r>
      <w:r w:rsidR="00B963BF" w:rsidRPr="00810D1B">
        <w:rPr>
          <w:rFonts w:ascii="Cambria" w:hAnsi="Cambria"/>
          <w:sz w:val="22"/>
          <w:szCs w:val="22"/>
        </w:rPr>
        <w:t xml:space="preserve">, pecans </w:t>
      </w:r>
      <w:r w:rsidRPr="00810D1B">
        <w:rPr>
          <w:rFonts w:ascii="Cambria" w:hAnsi="Cambria"/>
          <w:sz w:val="22"/>
          <w:szCs w:val="22"/>
        </w:rPr>
        <w:t>and beans</w:t>
      </w:r>
    </w:p>
    <w:p w14:paraId="4EA4C688" w14:textId="33D5E184" w:rsidR="00B963BF" w:rsidRPr="00810D1B" w:rsidRDefault="0080023F" w:rsidP="00810D1B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b/>
          <w:bCs/>
          <w:sz w:val="22"/>
          <w:szCs w:val="22"/>
        </w:rPr>
        <w:t>Sili</w:t>
      </w:r>
      <w:r w:rsidR="00CC4173" w:rsidRPr="00810D1B">
        <w:rPr>
          <w:rFonts w:ascii="Cambria" w:hAnsi="Cambria"/>
          <w:b/>
          <w:bCs/>
          <w:sz w:val="22"/>
          <w:szCs w:val="22"/>
        </w:rPr>
        <w:t>con</w:t>
      </w:r>
      <w:r w:rsidR="00B963BF" w:rsidRPr="00810D1B">
        <w:rPr>
          <w:rFonts w:ascii="Cambria" w:hAnsi="Cambria"/>
          <w:sz w:val="22"/>
          <w:szCs w:val="22"/>
        </w:rPr>
        <w:t>: Supports m</w:t>
      </w:r>
      <w:r w:rsidR="00CC4173" w:rsidRPr="00810D1B">
        <w:rPr>
          <w:rFonts w:ascii="Cambria" w:hAnsi="Cambria"/>
          <w:sz w:val="22"/>
          <w:szCs w:val="22"/>
        </w:rPr>
        <w:t xml:space="preserve">etabolic and structural functions in </w:t>
      </w:r>
      <w:r w:rsidR="00B963BF" w:rsidRPr="00810D1B">
        <w:rPr>
          <w:rFonts w:ascii="Cambria" w:hAnsi="Cambria"/>
          <w:sz w:val="22"/>
          <w:szCs w:val="22"/>
        </w:rPr>
        <w:t>bone, connective tissue and cartilage.</w:t>
      </w:r>
      <w:r w:rsidR="00B35E70" w:rsidRPr="00810D1B">
        <w:rPr>
          <w:rFonts w:ascii="Cambria" w:hAnsi="Cambria"/>
          <w:sz w:val="22"/>
          <w:szCs w:val="22"/>
        </w:rPr>
        <w:t xml:space="preserve"> </w:t>
      </w:r>
      <w:r w:rsidR="00CC4173" w:rsidRPr="00810D1B">
        <w:rPr>
          <w:rFonts w:ascii="Cambria" w:hAnsi="Cambria"/>
          <w:sz w:val="22"/>
          <w:szCs w:val="22"/>
        </w:rPr>
        <w:t>Found in whole grain cereals and root vegetables</w:t>
      </w:r>
      <w:r w:rsidR="00B963BF" w:rsidRPr="00810D1B">
        <w:rPr>
          <w:rFonts w:ascii="Cambria" w:hAnsi="Cambria"/>
          <w:sz w:val="22"/>
          <w:szCs w:val="22"/>
        </w:rPr>
        <w:t xml:space="preserve">. Also found in water </w:t>
      </w:r>
      <w:r w:rsidR="0005091A">
        <w:rPr>
          <w:rFonts w:ascii="Cambria" w:hAnsi="Cambria"/>
          <w:sz w:val="22"/>
          <w:szCs w:val="22"/>
        </w:rPr>
        <w:t>and water-based drinks</w:t>
      </w:r>
      <w:r w:rsidR="00B963BF" w:rsidRPr="00810D1B">
        <w:rPr>
          <w:rFonts w:ascii="Cambria" w:hAnsi="Cambria"/>
          <w:sz w:val="22"/>
          <w:szCs w:val="22"/>
        </w:rPr>
        <w:t xml:space="preserve">. Molybdenum </w:t>
      </w:r>
      <w:r w:rsidR="00B35E70" w:rsidRPr="00810D1B">
        <w:rPr>
          <w:rFonts w:ascii="Cambria" w:hAnsi="Cambria"/>
          <w:sz w:val="22"/>
          <w:szCs w:val="22"/>
        </w:rPr>
        <w:t>competes with silicon for</w:t>
      </w:r>
      <w:r w:rsidR="00B963BF" w:rsidRPr="00810D1B">
        <w:rPr>
          <w:rFonts w:ascii="Cambria" w:hAnsi="Cambria"/>
          <w:sz w:val="22"/>
          <w:szCs w:val="22"/>
        </w:rPr>
        <w:t xml:space="preserve"> absorption.</w:t>
      </w:r>
    </w:p>
    <w:p w14:paraId="34E13435" w14:textId="3E9CB0D1" w:rsidR="00CC4173" w:rsidRPr="00810D1B" w:rsidRDefault="00CC4173">
      <w:pPr>
        <w:rPr>
          <w:rFonts w:ascii="Cambria" w:hAnsi="Cambria"/>
          <w:sz w:val="22"/>
          <w:szCs w:val="22"/>
        </w:rPr>
      </w:pPr>
    </w:p>
    <w:p w14:paraId="1C381A6B" w14:textId="2DA49FCC" w:rsidR="00CC4173" w:rsidRPr="00810D1B" w:rsidRDefault="00CC4173" w:rsidP="00810D1B">
      <w:pPr>
        <w:pStyle w:val="ListParagraph"/>
        <w:numPr>
          <w:ilvl w:val="0"/>
          <w:numId w:val="4"/>
        </w:numPr>
        <w:rPr>
          <w:rFonts w:ascii="Cambria" w:eastAsia="Times New Roman" w:hAnsi="Cambria" w:cs="Times New Roman"/>
          <w:sz w:val="22"/>
          <w:szCs w:val="22"/>
        </w:rPr>
      </w:pPr>
      <w:r w:rsidRPr="00810D1B">
        <w:rPr>
          <w:rFonts w:ascii="Cambria" w:eastAsia="Times New Roman" w:hAnsi="Cambria" w:cs="Times New Roman"/>
          <w:b/>
          <w:bCs/>
          <w:sz w:val="22"/>
          <w:szCs w:val="22"/>
        </w:rPr>
        <w:t>Strontium</w:t>
      </w:r>
      <w:r w:rsidR="003A5042" w:rsidRPr="00810D1B">
        <w:rPr>
          <w:rFonts w:ascii="Cambria" w:eastAsia="Times New Roman" w:hAnsi="Cambria" w:cs="Times New Roman"/>
          <w:sz w:val="22"/>
          <w:szCs w:val="22"/>
        </w:rPr>
        <w:t xml:space="preserve">: </w:t>
      </w:r>
      <w:r w:rsidR="002978C0" w:rsidRPr="00810D1B">
        <w:rPr>
          <w:rFonts w:ascii="Cambria" w:eastAsia="Times New Roman" w:hAnsi="Cambria" w:cs="Times New Roman"/>
          <w:sz w:val="22"/>
          <w:szCs w:val="22"/>
        </w:rPr>
        <w:t xml:space="preserve">Naturally found in soil, but supplementation is controversial. </w:t>
      </w:r>
      <w:r w:rsidR="00C52661" w:rsidRPr="00810D1B">
        <w:rPr>
          <w:rFonts w:ascii="Cambria" w:eastAsia="Times New Roman" w:hAnsi="Cambria" w:cs="Times New Roman"/>
          <w:sz w:val="22"/>
          <w:szCs w:val="22"/>
        </w:rPr>
        <w:t>Access this</w:t>
      </w:r>
      <w:r w:rsidR="002978C0" w:rsidRPr="00810D1B">
        <w:rPr>
          <w:rFonts w:ascii="Cambria" w:eastAsia="Times New Roman" w:hAnsi="Cambria" w:cs="Times New Roman"/>
          <w:sz w:val="22"/>
          <w:szCs w:val="22"/>
        </w:rPr>
        <w:t xml:space="preserve"> mineral from </w:t>
      </w:r>
      <w:r w:rsidR="003A5042" w:rsidRPr="00810D1B">
        <w:rPr>
          <w:rFonts w:ascii="Cambria" w:eastAsia="Times New Roman" w:hAnsi="Cambria" w:cs="Times New Roman"/>
          <w:sz w:val="22"/>
          <w:szCs w:val="22"/>
        </w:rPr>
        <w:t>seafood, root vegetables, spinach and celery.</w:t>
      </w:r>
      <w:r w:rsidR="002978C0" w:rsidRPr="00810D1B">
        <w:rPr>
          <w:rFonts w:ascii="Cambria" w:eastAsia="Times New Roman" w:hAnsi="Cambria" w:cs="Times New Roman"/>
          <w:sz w:val="22"/>
          <w:szCs w:val="22"/>
        </w:rPr>
        <w:t xml:space="preserve"> Stick with that or consult your doctor. </w:t>
      </w:r>
    </w:p>
    <w:p w14:paraId="30645543" w14:textId="1427B72C" w:rsidR="002978C0" w:rsidRPr="00810D1B" w:rsidRDefault="002978C0">
      <w:pPr>
        <w:rPr>
          <w:rFonts w:ascii="Cambria" w:eastAsia="Times New Roman" w:hAnsi="Cambria" w:cs="Times New Roman"/>
          <w:sz w:val="22"/>
          <w:szCs w:val="22"/>
        </w:rPr>
      </w:pPr>
    </w:p>
    <w:p w14:paraId="52AABF91" w14:textId="4A883426" w:rsidR="002978C0" w:rsidRPr="00810D1B" w:rsidRDefault="002978C0" w:rsidP="00810D1B">
      <w:pPr>
        <w:pStyle w:val="ListParagraph"/>
        <w:numPr>
          <w:ilvl w:val="0"/>
          <w:numId w:val="4"/>
        </w:numPr>
        <w:rPr>
          <w:rFonts w:ascii="Cambria" w:eastAsia="Times New Roman" w:hAnsi="Cambria" w:cs="Times New Roman"/>
          <w:sz w:val="22"/>
          <w:szCs w:val="22"/>
        </w:rPr>
      </w:pPr>
      <w:r w:rsidRPr="00810D1B">
        <w:rPr>
          <w:rFonts w:ascii="Cambria" w:eastAsia="Times New Roman" w:hAnsi="Cambria" w:cs="Times New Roman"/>
          <w:b/>
          <w:bCs/>
          <w:sz w:val="22"/>
          <w:szCs w:val="22"/>
        </w:rPr>
        <w:t>Vitamin K2, aka menaquinone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: </w:t>
      </w:r>
      <w:r w:rsidR="00B35E70" w:rsidRPr="00810D1B">
        <w:rPr>
          <w:rFonts w:ascii="Cambria" w:eastAsia="Times New Roman" w:hAnsi="Cambria" w:cs="Times New Roman"/>
          <w:sz w:val="22"/>
          <w:szCs w:val="22"/>
        </w:rPr>
        <w:t>Synthesized from bacteria, s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>ources include tempeh, liver, dark meat poultry, hard cheeses, egg yolks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 xml:space="preserve">. 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 xml:space="preserve">Involved in regulating where calcium is distributed in the body. Combined with vitamin D3, they 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 xml:space="preserve">limit 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>osteoclast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s.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 xml:space="preserve"> Because of its role in regulating calcium, it also helps support cardiovascular function. Deficiency is common.</w:t>
      </w:r>
      <w:r w:rsidR="00B35E70" w:rsidRPr="00810D1B">
        <w:rPr>
          <w:rFonts w:ascii="Cambria" w:eastAsia="Times New Roman" w:hAnsi="Cambria" w:cs="Times New Roman"/>
          <w:sz w:val="22"/>
          <w:szCs w:val="22"/>
        </w:rPr>
        <w:t xml:space="preserve"> Minimum RDA 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for middle aged</w:t>
      </w:r>
      <w:r w:rsidR="00C52661" w:rsidRPr="00810D1B">
        <w:rPr>
          <w:rFonts w:ascii="Cambria" w:eastAsia="Times New Roman" w:hAnsi="Cambria" w:cs="Times New Roman"/>
          <w:sz w:val="22"/>
          <w:szCs w:val="22"/>
        </w:rPr>
        <w:t xml:space="preserve"> and older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 xml:space="preserve"> women is</w:t>
      </w:r>
      <w:r w:rsidR="00B35E70" w:rsidRPr="00810D1B">
        <w:rPr>
          <w:rFonts w:ascii="Cambria" w:eastAsia="Times New Roman" w:hAnsi="Cambria" w:cs="Times New Roman"/>
          <w:sz w:val="22"/>
          <w:szCs w:val="22"/>
        </w:rPr>
        <w:t xml:space="preserve"> 90 mcg</w:t>
      </w:r>
      <w:r w:rsidR="00C52661" w:rsidRPr="00810D1B">
        <w:rPr>
          <w:rFonts w:ascii="Cambria" w:eastAsia="Times New Roman" w:hAnsi="Cambria" w:cs="Times New Roman"/>
          <w:sz w:val="22"/>
          <w:szCs w:val="22"/>
        </w:rPr>
        <w:t xml:space="preserve"> and 120 mcg for men</w:t>
      </w:r>
      <w:r w:rsidR="00B35E70" w:rsidRPr="00810D1B">
        <w:rPr>
          <w:rFonts w:ascii="Cambria" w:eastAsia="Times New Roman" w:hAnsi="Cambria" w:cs="Times New Roman"/>
          <w:sz w:val="22"/>
          <w:szCs w:val="22"/>
        </w:rPr>
        <w:t xml:space="preserve">, but </w:t>
      </w:r>
      <w:r w:rsidR="003A34BE" w:rsidRPr="00810D1B">
        <w:rPr>
          <w:rFonts w:ascii="Cambria" w:eastAsia="Times New Roman" w:hAnsi="Cambria" w:cs="Times New Roman"/>
          <w:sz w:val="22"/>
          <w:szCs w:val="22"/>
        </w:rPr>
        <w:t>for those that are deficient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,</w:t>
      </w:r>
      <w:r w:rsidR="003A34BE" w:rsidRPr="00810D1B">
        <w:rPr>
          <w:rFonts w:ascii="Cambria" w:eastAsia="Times New Roman" w:hAnsi="Cambria" w:cs="Times New Roman"/>
          <w:sz w:val="22"/>
          <w:szCs w:val="22"/>
        </w:rPr>
        <w:t xml:space="preserve"> repletion can be 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&gt;</w:t>
      </w:r>
      <w:r w:rsidR="003A34BE" w:rsidRPr="00810D1B">
        <w:rPr>
          <w:rFonts w:ascii="Cambria" w:eastAsia="Times New Roman" w:hAnsi="Cambria" w:cs="Times New Roman"/>
          <w:sz w:val="22"/>
          <w:szCs w:val="22"/>
        </w:rPr>
        <w:t>500mcg.</w:t>
      </w:r>
    </w:p>
    <w:p w14:paraId="3BA0D294" w14:textId="23BB5248" w:rsidR="002978C0" w:rsidRPr="00810D1B" w:rsidRDefault="002978C0">
      <w:pPr>
        <w:rPr>
          <w:rFonts w:ascii="Cambria" w:eastAsia="Times New Roman" w:hAnsi="Cambria" w:cs="Times New Roman"/>
          <w:sz w:val="22"/>
          <w:szCs w:val="22"/>
        </w:rPr>
      </w:pPr>
    </w:p>
    <w:p w14:paraId="645057D1" w14:textId="196B8033" w:rsidR="002978C0" w:rsidRPr="00810D1B" w:rsidRDefault="002978C0" w:rsidP="00810D1B">
      <w:pPr>
        <w:pStyle w:val="ListParagraph"/>
        <w:numPr>
          <w:ilvl w:val="0"/>
          <w:numId w:val="4"/>
        </w:numPr>
        <w:rPr>
          <w:rFonts w:ascii="Cambria" w:eastAsia="Times New Roman" w:hAnsi="Cambria" w:cs="Times New Roman"/>
          <w:sz w:val="22"/>
          <w:szCs w:val="22"/>
        </w:rPr>
      </w:pPr>
      <w:r w:rsidRPr="00810D1B">
        <w:rPr>
          <w:rFonts w:ascii="Cambria" w:eastAsia="Times New Roman" w:hAnsi="Cambria" w:cs="Times New Roman"/>
          <w:b/>
          <w:bCs/>
          <w:sz w:val="22"/>
          <w:szCs w:val="22"/>
        </w:rPr>
        <w:t>Vitamin K1</w:t>
      </w:r>
      <w:r w:rsidR="002232A3" w:rsidRPr="00810D1B">
        <w:rPr>
          <w:rFonts w:ascii="Cambria" w:eastAsia="Times New Roman" w:hAnsi="Cambria" w:cs="Times New Roman"/>
          <w:b/>
          <w:bCs/>
          <w:sz w:val="22"/>
          <w:szCs w:val="22"/>
        </w:rPr>
        <w:t>, aka phylloquinone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: </w:t>
      </w:r>
      <w:r w:rsidR="00B35E70" w:rsidRPr="00810D1B">
        <w:rPr>
          <w:rFonts w:ascii="Cambria" w:eastAsia="Times New Roman" w:hAnsi="Cambria" w:cs="Times New Roman"/>
          <w:sz w:val="22"/>
          <w:szCs w:val="22"/>
        </w:rPr>
        <w:t>Synthesized by plants, s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ources are most green 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>vegetables</w:t>
      </w:r>
      <w:r w:rsidR="003A34BE" w:rsidRPr="00810D1B">
        <w:rPr>
          <w:rFonts w:ascii="Cambria" w:eastAsia="Times New Roman" w:hAnsi="Cambria" w:cs="Times New Roman"/>
          <w:sz w:val="22"/>
          <w:szCs w:val="22"/>
        </w:rPr>
        <w:t xml:space="preserve"> and raw celeriac</w:t>
      </w:r>
      <w:r w:rsidR="002232A3" w:rsidRPr="00810D1B">
        <w:rPr>
          <w:rFonts w:ascii="Cambria" w:eastAsia="Times New Roman" w:hAnsi="Cambria" w:cs="Times New Roman"/>
          <w:sz w:val="22"/>
          <w:szCs w:val="22"/>
        </w:rPr>
        <w:t xml:space="preserve">. Deficiency is rare. 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Supports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 blood clotting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 xml:space="preserve"> and cardiovascular function.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CE6E10" w:rsidRPr="00810D1B">
        <w:rPr>
          <w:rFonts w:ascii="Cambria" w:eastAsia="Times New Roman" w:hAnsi="Cambria" w:cs="Times New Roman"/>
          <w:sz w:val="22"/>
          <w:szCs w:val="22"/>
        </w:rPr>
        <w:t>C</w:t>
      </w:r>
      <w:r w:rsidRPr="00810D1B">
        <w:rPr>
          <w:rFonts w:ascii="Cambria" w:eastAsia="Times New Roman" w:hAnsi="Cambria" w:cs="Times New Roman"/>
          <w:sz w:val="22"/>
          <w:szCs w:val="22"/>
        </w:rPr>
        <w:t xml:space="preserve">aution for those on blood thinners. </w:t>
      </w:r>
    </w:p>
    <w:p w14:paraId="4C21DFCC" w14:textId="4A936296" w:rsidR="00810D1B" w:rsidRDefault="00810D1B">
      <w:pPr>
        <w:rPr>
          <w:rFonts w:ascii="Cambria" w:eastAsia="Times New Roman" w:hAnsi="Cambria" w:cs="Times New Roman"/>
        </w:rPr>
      </w:pPr>
    </w:p>
    <w:p w14:paraId="2F6AD0B5" w14:textId="77777777" w:rsidR="00810D1B" w:rsidRPr="00810D1B" w:rsidRDefault="00810D1B" w:rsidP="00810D1B">
      <w:pPr>
        <w:rPr>
          <w:rFonts w:ascii="Cambria" w:hAnsi="Cambria"/>
        </w:rPr>
      </w:pPr>
      <w:r w:rsidRPr="00810D1B">
        <w:rPr>
          <w:rFonts w:ascii="Cambria" w:hAnsi="Cambria"/>
        </w:rPr>
        <w:t>Herbs to support skeletal health and help with osteopenia and osteoporosis:</w:t>
      </w:r>
    </w:p>
    <w:p w14:paraId="2FD58CE4" w14:textId="77777777" w:rsidR="00810D1B" w:rsidRPr="00810D1B" w:rsidRDefault="00810D1B" w:rsidP="00810D1B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b/>
          <w:bCs/>
          <w:sz w:val="22"/>
          <w:szCs w:val="22"/>
        </w:rPr>
        <w:t>Horny goat weed</w:t>
      </w:r>
      <w:r w:rsidRPr="00810D1B">
        <w:rPr>
          <w:rFonts w:ascii="Cambria" w:hAnsi="Cambria"/>
          <w:sz w:val="22"/>
          <w:szCs w:val="22"/>
        </w:rPr>
        <w:t xml:space="preserve"> – in addition to be being a vasodilator, it mineralizes bone. Steep loose tea leaves. </w:t>
      </w:r>
    </w:p>
    <w:p w14:paraId="2E8AD834" w14:textId="77777777" w:rsidR="00810D1B" w:rsidRPr="00810D1B" w:rsidRDefault="00810D1B" w:rsidP="00810D1B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b/>
          <w:bCs/>
          <w:sz w:val="22"/>
          <w:szCs w:val="22"/>
        </w:rPr>
        <w:t>Horsetail</w:t>
      </w:r>
      <w:r w:rsidRPr="00810D1B">
        <w:rPr>
          <w:rFonts w:ascii="Cambria" w:hAnsi="Cambria"/>
          <w:sz w:val="22"/>
          <w:szCs w:val="22"/>
        </w:rPr>
        <w:t xml:space="preserve"> – high in silica – necessary for healthy bones, cartilage, tendons, and connective tissue. Horsetail also shown to be affective for hair loss, anti-inflammatory, brittle nails, and edema. Use as a tincture or use the dry herb to make a tea. Allow it </w:t>
      </w:r>
      <w:proofErr w:type="spellStart"/>
      <w:r w:rsidRPr="00810D1B">
        <w:rPr>
          <w:rFonts w:ascii="Cambria" w:hAnsi="Cambria"/>
          <w:sz w:val="22"/>
          <w:szCs w:val="22"/>
        </w:rPr>
        <w:t>to</w:t>
      </w:r>
      <w:proofErr w:type="spellEnd"/>
      <w:r w:rsidRPr="00810D1B">
        <w:rPr>
          <w:rFonts w:ascii="Cambria" w:hAnsi="Cambria"/>
          <w:sz w:val="22"/>
          <w:szCs w:val="22"/>
        </w:rPr>
        <w:t xml:space="preserve"> steep for 10 minutes.</w:t>
      </w:r>
    </w:p>
    <w:p w14:paraId="1F950069" w14:textId="77777777" w:rsidR="00810D1B" w:rsidRPr="00810D1B" w:rsidRDefault="00810D1B" w:rsidP="00810D1B">
      <w:pPr>
        <w:pStyle w:val="ListParagraph"/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sz w:val="22"/>
          <w:szCs w:val="22"/>
        </w:rPr>
        <w:t>** Can diminish thiamine (B1) levels and potassium – don’t use it everyday</w:t>
      </w:r>
    </w:p>
    <w:p w14:paraId="323D747E" w14:textId="77777777" w:rsidR="00810D1B" w:rsidRPr="00810D1B" w:rsidRDefault="00810D1B" w:rsidP="00810D1B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810D1B">
        <w:rPr>
          <w:rFonts w:ascii="Cambria" w:hAnsi="Cambria"/>
          <w:b/>
          <w:bCs/>
          <w:sz w:val="22"/>
          <w:szCs w:val="22"/>
        </w:rPr>
        <w:t>Nettles</w:t>
      </w:r>
      <w:r w:rsidRPr="00810D1B">
        <w:rPr>
          <w:rFonts w:ascii="Cambria" w:hAnsi="Cambria"/>
          <w:sz w:val="22"/>
          <w:szCs w:val="22"/>
        </w:rPr>
        <w:t xml:space="preserve"> –mineralizes bone because it contains boron and silicon. Take as a tea or supplement and also works as an antihistamine. </w:t>
      </w:r>
    </w:p>
    <w:p w14:paraId="3D59894B" w14:textId="2EF4DFD5" w:rsidR="00CC4173" w:rsidRPr="00810D1B" w:rsidRDefault="00CC4173">
      <w:pPr>
        <w:rPr>
          <w:rFonts w:ascii="Cambria" w:eastAsia="Times New Roman" w:hAnsi="Cambria" w:cs="Times New Roman"/>
        </w:rPr>
      </w:pPr>
    </w:p>
    <w:p w14:paraId="2B01A9FF" w14:textId="70A51EDA" w:rsidR="00C52661" w:rsidRPr="006C75DD" w:rsidRDefault="007E6A7E" w:rsidP="006C75DD">
      <w:pPr>
        <w:jc w:val="center"/>
        <w:rPr>
          <w:rFonts w:ascii="Cambria" w:hAnsi="Cambria"/>
        </w:rPr>
      </w:pPr>
      <w:r w:rsidRPr="00810D1B">
        <w:rPr>
          <w:rFonts w:ascii="Cambria" w:hAnsi="Cambria"/>
          <w:noProof/>
        </w:rPr>
        <w:drawing>
          <wp:inline distT="0" distB="0" distL="0" distR="0" wp14:anchorId="4CF107F5" wp14:editId="1E9053AE">
            <wp:extent cx="3921453" cy="3018178"/>
            <wp:effectExtent l="0" t="0" r="3175" b="4445"/>
            <wp:docPr id="3" name="Picture 3" descr="A picture containing food, plate, plant,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od, plate, plant, vege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649" cy="30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AC8D" w14:textId="5DEEBE26" w:rsidR="003A34BE" w:rsidRPr="00810D1B" w:rsidRDefault="003A34BE">
      <w:pPr>
        <w:rPr>
          <w:rFonts w:ascii="Cambria" w:hAnsi="Cambria"/>
          <w:sz w:val="21"/>
          <w:szCs w:val="21"/>
        </w:rPr>
      </w:pPr>
      <w:r w:rsidRPr="00810D1B">
        <w:rPr>
          <w:rFonts w:ascii="Cambria" w:hAnsi="Cambria"/>
          <w:sz w:val="21"/>
          <w:szCs w:val="21"/>
        </w:rPr>
        <w:t xml:space="preserve">Sources: </w:t>
      </w:r>
    </w:p>
    <w:p w14:paraId="28AAC5F5" w14:textId="10A025F9" w:rsidR="00CE6E10" w:rsidRPr="00810D1B" w:rsidRDefault="00CE6E10">
      <w:pPr>
        <w:rPr>
          <w:rFonts w:ascii="Cambria" w:hAnsi="Cambria"/>
          <w:sz w:val="21"/>
          <w:szCs w:val="21"/>
        </w:rPr>
      </w:pPr>
      <w:proofErr w:type="spellStart"/>
      <w:r w:rsidRPr="00810D1B">
        <w:rPr>
          <w:rFonts w:ascii="Cambria" w:hAnsi="Cambria"/>
          <w:sz w:val="21"/>
          <w:szCs w:val="21"/>
        </w:rPr>
        <w:t>Broadwine</w:t>
      </w:r>
      <w:proofErr w:type="spellEnd"/>
      <w:r w:rsidRPr="00810D1B">
        <w:rPr>
          <w:rFonts w:ascii="Cambria" w:hAnsi="Cambria"/>
          <w:sz w:val="21"/>
          <w:szCs w:val="21"/>
        </w:rPr>
        <w:t>, Teresa, RH, AHG, Green Comfort Herbal Medicine</w:t>
      </w:r>
    </w:p>
    <w:p w14:paraId="6ADD84D1" w14:textId="5F8DCC49" w:rsidR="00CE6E10" w:rsidRPr="00810D1B" w:rsidRDefault="00CE6E10">
      <w:pPr>
        <w:rPr>
          <w:rFonts w:ascii="Cambria" w:hAnsi="Cambria"/>
          <w:sz w:val="21"/>
          <w:szCs w:val="21"/>
        </w:rPr>
      </w:pPr>
      <w:r w:rsidRPr="00810D1B">
        <w:rPr>
          <w:rFonts w:ascii="Cambria" w:hAnsi="Cambria"/>
          <w:sz w:val="21"/>
          <w:szCs w:val="21"/>
        </w:rPr>
        <w:t>Duke, Dr. James A., The Green Pharmacy Herbal Handbook, St. Martin’s Paperbacks, 2000.</w:t>
      </w:r>
    </w:p>
    <w:p w14:paraId="3AA41E24" w14:textId="2CD28D41" w:rsidR="003A34BE" w:rsidRPr="00810D1B" w:rsidRDefault="003A34BE">
      <w:pPr>
        <w:rPr>
          <w:rFonts w:ascii="Cambria" w:hAnsi="Cambria"/>
          <w:sz w:val="21"/>
          <w:szCs w:val="21"/>
        </w:rPr>
      </w:pPr>
      <w:r w:rsidRPr="00810D1B">
        <w:rPr>
          <w:rFonts w:ascii="Cambria" w:hAnsi="Cambria"/>
          <w:sz w:val="21"/>
          <w:szCs w:val="21"/>
        </w:rPr>
        <w:t xml:space="preserve">Gropper, Sareen S., Jack L. Smith, James L. Groff, Advanced Nutrition and Human Metabolism, Wadsworth Cengage Learning, Fifth Edition, 2009. </w:t>
      </w:r>
    </w:p>
    <w:p w14:paraId="3957F08B" w14:textId="2481AEF6" w:rsidR="003A34BE" w:rsidRPr="00810D1B" w:rsidRDefault="003A34BE">
      <w:pPr>
        <w:rPr>
          <w:rFonts w:ascii="Cambria" w:hAnsi="Cambria"/>
          <w:sz w:val="21"/>
          <w:szCs w:val="21"/>
        </w:rPr>
      </w:pPr>
      <w:r w:rsidRPr="00810D1B">
        <w:rPr>
          <w:rFonts w:ascii="Cambria" w:hAnsi="Cambria"/>
          <w:sz w:val="21"/>
          <w:szCs w:val="21"/>
        </w:rPr>
        <w:t xml:space="preserve">Lord, Richard S. and J. Alexander </w:t>
      </w:r>
      <w:proofErr w:type="spellStart"/>
      <w:r w:rsidRPr="00810D1B">
        <w:rPr>
          <w:rFonts w:ascii="Cambria" w:hAnsi="Cambria"/>
          <w:sz w:val="21"/>
          <w:szCs w:val="21"/>
        </w:rPr>
        <w:t>Bralley</w:t>
      </w:r>
      <w:proofErr w:type="spellEnd"/>
      <w:r w:rsidRPr="00810D1B">
        <w:rPr>
          <w:rFonts w:ascii="Cambria" w:hAnsi="Cambria"/>
          <w:sz w:val="21"/>
          <w:szCs w:val="21"/>
        </w:rPr>
        <w:t xml:space="preserve">, </w:t>
      </w:r>
      <w:r w:rsidRPr="00810D1B">
        <w:rPr>
          <w:rFonts w:ascii="Cambria" w:hAnsi="Cambria"/>
          <w:sz w:val="21"/>
          <w:szCs w:val="21"/>
          <w:u w:val="single"/>
        </w:rPr>
        <w:t xml:space="preserve">Laboratory </w:t>
      </w:r>
      <w:proofErr w:type="spellStart"/>
      <w:r w:rsidRPr="00810D1B">
        <w:rPr>
          <w:rFonts w:ascii="Cambria" w:hAnsi="Cambria"/>
          <w:sz w:val="21"/>
          <w:szCs w:val="21"/>
          <w:u w:val="single"/>
        </w:rPr>
        <w:t>Evalations</w:t>
      </w:r>
      <w:proofErr w:type="spellEnd"/>
      <w:r w:rsidRPr="00810D1B">
        <w:rPr>
          <w:rFonts w:ascii="Cambria" w:hAnsi="Cambria"/>
          <w:sz w:val="21"/>
          <w:szCs w:val="21"/>
          <w:u w:val="single"/>
        </w:rPr>
        <w:t xml:space="preserve"> for Integrative and Functional Medicine,</w:t>
      </w:r>
      <w:r w:rsidRPr="00810D1B">
        <w:rPr>
          <w:rFonts w:ascii="Cambria" w:hAnsi="Cambria"/>
          <w:sz w:val="21"/>
          <w:szCs w:val="21"/>
        </w:rPr>
        <w:t xml:space="preserve"> </w:t>
      </w:r>
      <w:proofErr w:type="spellStart"/>
      <w:r w:rsidRPr="00810D1B">
        <w:rPr>
          <w:rFonts w:ascii="Cambria" w:hAnsi="Cambria"/>
          <w:sz w:val="21"/>
          <w:szCs w:val="21"/>
        </w:rPr>
        <w:t>Metametrix</w:t>
      </w:r>
      <w:proofErr w:type="spellEnd"/>
      <w:r w:rsidRPr="00810D1B">
        <w:rPr>
          <w:rFonts w:ascii="Cambria" w:hAnsi="Cambria"/>
          <w:sz w:val="21"/>
          <w:szCs w:val="21"/>
        </w:rPr>
        <w:t xml:space="preserve"> Institute, </w:t>
      </w:r>
      <w:proofErr w:type="spellStart"/>
      <w:r w:rsidRPr="00810D1B">
        <w:rPr>
          <w:rFonts w:ascii="Cambria" w:hAnsi="Cambria"/>
          <w:sz w:val="21"/>
          <w:szCs w:val="21"/>
        </w:rPr>
        <w:t>Deluth</w:t>
      </w:r>
      <w:proofErr w:type="spellEnd"/>
      <w:r w:rsidRPr="00810D1B">
        <w:rPr>
          <w:rFonts w:ascii="Cambria" w:hAnsi="Cambria"/>
          <w:sz w:val="21"/>
          <w:szCs w:val="21"/>
        </w:rPr>
        <w:t>, GA. Revised 2</w:t>
      </w:r>
      <w:r w:rsidRPr="00810D1B">
        <w:rPr>
          <w:rFonts w:ascii="Cambria" w:hAnsi="Cambria"/>
          <w:sz w:val="21"/>
          <w:szCs w:val="21"/>
          <w:vertAlign w:val="superscript"/>
        </w:rPr>
        <w:t>nd</w:t>
      </w:r>
      <w:r w:rsidRPr="00810D1B">
        <w:rPr>
          <w:rFonts w:ascii="Cambria" w:hAnsi="Cambria"/>
          <w:sz w:val="21"/>
          <w:szCs w:val="21"/>
        </w:rPr>
        <w:t xml:space="preserve"> Edition, 2012.</w:t>
      </w:r>
    </w:p>
    <w:p w14:paraId="1E21DDA0" w14:textId="74ECE33A" w:rsidR="003A34BE" w:rsidRPr="00810D1B" w:rsidRDefault="003A34BE">
      <w:pPr>
        <w:rPr>
          <w:rFonts w:ascii="Cambria" w:hAnsi="Cambria"/>
          <w:sz w:val="21"/>
          <w:szCs w:val="21"/>
        </w:rPr>
      </w:pPr>
      <w:r w:rsidRPr="00810D1B">
        <w:rPr>
          <w:rFonts w:ascii="Cambria" w:hAnsi="Cambria"/>
          <w:sz w:val="21"/>
          <w:szCs w:val="21"/>
        </w:rPr>
        <w:t>https://lpi.oregonstate.edu/mic</w:t>
      </w:r>
    </w:p>
    <w:sectPr w:rsidR="003A34BE" w:rsidRPr="00810D1B" w:rsidSect="00CC7BC9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516"/>
    <w:multiLevelType w:val="hybridMultilevel"/>
    <w:tmpl w:val="C380B3D2"/>
    <w:lvl w:ilvl="0" w:tplc="DB5868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B01"/>
    <w:multiLevelType w:val="hybridMultilevel"/>
    <w:tmpl w:val="6D42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AA2"/>
    <w:multiLevelType w:val="hybridMultilevel"/>
    <w:tmpl w:val="CB96C274"/>
    <w:lvl w:ilvl="0" w:tplc="9F0043A2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1A33"/>
    <w:multiLevelType w:val="hybridMultilevel"/>
    <w:tmpl w:val="95625C20"/>
    <w:lvl w:ilvl="0" w:tplc="32425FE2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6F14"/>
    <w:multiLevelType w:val="hybridMultilevel"/>
    <w:tmpl w:val="3760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524"/>
    <w:multiLevelType w:val="hybridMultilevel"/>
    <w:tmpl w:val="FB2C6550"/>
    <w:lvl w:ilvl="0" w:tplc="ADF05A1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A6B70"/>
    <w:multiLevelType w:val="hybridMultilevel"/>
    <w:tmpl w:val="0AFA6A3E"/>
    <w:lvl w:ilvl="0" w:tplc="32425FE2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95D"/>
    <w:multiLevelType w:val="hybridMultilevel"/>
    <w:tmpl w:val="63E026B0"/>
    <w:lvl w:ilvl="0" w:tplc="32425FE2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1FA4"/>
    <w:multiLevelType w:val="hybridMultilevel"/>
    <w:tmpl w:val="5E70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9"/>
    <w:rsid w:val="0000359A"/>
    <w:rsid w:val="00035FF4"/>
    <w:rsid w:val="00044B7B"/>
    <w:rsid w:val="0005091A"/>
    <w:rsid w:val="00065F81"/>
    <w:rsid w:val="000E5628"/>
    <w:rsid w:val="00105228"/>
    <w:rsid w:val="00115968"/>
    <w:rsid w:val="001F25D7"/>
    <w:rsid w:val="002232A3"/>
    <w:rsid w:val="002978C0"/>
    <w:rsid w:val="00370D64"/>
    <w:rsid w:val="003A34BE"/>
    <w:rsid w:val="003A5042"/>
    <w:rsid w:val="003C1D29"/>
    <w:rsid w:val="00410CFC"/>
    <w:rsid w:val="00457206"/>
    <w:rsid w:val="00545E8C"/>
    <w:rsid w:val="00574DBF"/>
    <w:rsid w:val="005815B6"/>
    <w:rsid w:val="00595F40"/>
    <w:rsid w:val="00651253"/>
    <w:rsid w:val="006C75DD"/>
    <w:rsid w:val="00776088"/>
    <w:rsid w:val="007B5CEB"/>
    <w:rsid w:val="007E6A7E"/>
    <w:rsid w:val="0080023F"/>
    <w:rsid w:val="00810D1B"/>
    <w:rsid w:val="00857BEA"/>
    <w:rsid w:val="008B1F79"/>
    <w:rsid w:val="00900BB4"/>
    <w:rsid w:val="009725D1"/>
    <w:rsid w:val="009B640F"/>
    <w:rsid w:val="00AA408F"/>
    <w:rsid w:val="00B35E70"/>
    <w:rsid w:val="00B66D1D"/>
    <w:rsid w:val="00B963BF"/>
    <w:rsid w:val="00BA7D19"/>
    <w:rsid w:val="00C52661"/>
    <w:rsid w:val="00CC4173"/>
    <w:rsid w:val="00CC7BC9"/>
    <w:rsid w:val="00CE6E10"/>
    <w:rsid w:val="00D047D8"/>
    <w:rsid w:val="00E82A24"/>
    <w:rsid w:val="00EB4CBF"/>
    <w:rsid w:val="00F43AC9"/>
    <w:rsid w:val="00FA1CDF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6642"/>
  <w15:chartTrackingRefBased/>
  <w15:docId w15:val="{91FAEF1B-ED34-2345-8DB4-6DB6C406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Martin Malina</dc:creator>
  <cp:keywords/>
  <dc:description/>
  <cp:lastModifiedBy>Joel Martin Malina</cp:lastModifiedBy>
  <cp:revision>8</cp:revision>
  <dcterms:created xsi:type="dcterms:W3CDTF">2021-01-07T15:41:00Z</dcterms:created>
  <dcterms:modified xsi:type="dcterms:W3CDTF">2021-01-08T17:58:00Z</dcterms:modified>
</cp:coreProperties>
</file>